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268A3" w14:textId="5F715016" w:rsidR="00012E7D" w:rsidRPr="00641197" w:rsidRDefault="00012E7D" w:rsidP="00012E7D">
      <w:pPr>
        <w:widowControl w:val="0"/>
        <w:autoSpaceDE w:val="0"/>
        <w:autoSpaceDN w:val="0"/>
        <w:adjustRightInd w:val="0"/>
        <w:rPr>
          <w:rFonts w:asciiTheme="minorHAnsi" w:hAnsiTheme="minorHAnsi" w:cs="Cambria"/>
        </w:rPr>
      </w:pPr>
      <w:r w:rsidRPr="00641197">
        <w:rPr>
          <w:rFonts w:asciiTheme="minorHAnsi" w:hAnsiTheme="minorHAnsi" w:cs="Cambria"/>
        </w:rPr>
        <w:t>27-750 </w:t>
      </w:r>
      <w:r w:rsidR="003F2B27">
        <w:rPr>
          <w:rFonts w:asciiTheme="minorHAnsi" w:hAnsiTheme="minorHAnsi" w:cs="Cambria"/>
        </w:rPr>
        <w:t xml:space="preserve">2016, </w:t>
      </w:r>
      <w:r w:rsidRPr="00641197">
        <w:rPr>
          <w:rFonts w:asciiTheme="minorHAnsi" w:hAnsiTheme="minorHAnsi" w:cs="Cambria"/>
        </w:rPr>
        <w:t>Mid-term, take-home</w:t>
      </w:r>
      <w:r w:rsidR="00C02563">
        <w:rPr>
          <w:rFonts w:asciiTheme="minorHAnsi" w:hAnsiTheme="minorHAnsi" w:cs="Cambria"/>
        </w:rPr>
        <w:t>, version 2</w:t>
      </w:r>
      <w:r w:rsidRPr="00641197">
        <w:rPr>
          <w:rFonts w:asciiTheme="minorHAnsi" w:hAnsiTheme="minorHAnsi" w:cs="Cambria"/>
        </w:rPr>
        <w:t xml:space="preserve">; </w:t>
      </w:r>
    </w:p>
    <w:p w14:paraId="7D55265A" w14:textId="76F02C16" w:rsidR="00012E7D" w:rsidRPr="00641197" w:rsidRDefault="007556F9" w:rsidP="00012E7D">
      <w:pPr>
        <w:widowControl w:val="0"/>
        <w:autoSpaceDE w:val="0"/>
        <w:autoSpaceDN w:val="0"/>
        <w:adjustRightInd w:val="0"/>
        <w:rPr>
          <w:rFonts w:asciiTheme="minorHAnsi" w:hAnsiTheme="minorHAnsi" w:cs="Cambria"/>
        </w:rPr>
      </w:pPr>
      <w:r w:rsidRPr="00641197">
        <w:rPr>
          <w:rFonts w:asciiTheme="minorHAnsi" w:hAnsiTheme="minorHAnsi" w:cs="Cambria"/>
        </w:rPr>
        <w:t>100</w:t>
      </w:r>
      <w:r w:rsidR="00012E7D" w:rsidRPr="00641197">
        <w:rPr>
          <w:rFonts w:asciiTheme="minorHAnsi" w:hAnsiTheme="minorHAnsi" w:cs="Cambria"/>
        </w:rPr>
        <w:t xml:space="preserve"> points </w:t>
      </w:r>
    </w:p>
    <w:p w14:paraId="46AD55B0" w14:textId="77777777" w:rsidR="00012E7D" w:rsidRPr="00641197" w:rsidRDefault="00012E7D" w:rsidP="00012E7D">
      <w:pPr>
        <w:widowControl w:val="0"/>
        <w:autoSpaceDE w:val="0"/>
        <w:autoSpaceDN w:val="0"/>
        <w:adjustRightInd w:val="0"/>
        <w:rPr>
          <w:rFonts w:asciiTheme="minorHAnsi" w:hAnsiTheme="minorHAnsi" w:cs="Cambria"/>
        </w:rPr>
      </w:pPr>
      <w:r w:rsidRPr="00641197">
        <w:rPr>
          <w:rFonts w:asciiTheme="minorHAnsi" w:hAnsiTheme="minorHAnsi" w:cs="Cambria"/>
        </w:rPr>
        <w:t>Available: 10 a.m. Saturday, 20</w:t>
      </w:r>
      <w:r w:rsidRPr="00641197">
        <w:rPr>
          <w:rFonts w:asciiTheme="minorHAnsi" w:hAnsiTheme="minorHAnsi" w:cs="Cambria"/>
          <w:vertAlign w:val="superscript"/>
        </w:rPr>
        <w:t>th</w:t>
      </w:r>
      <w:r w:rsidRPr="00641197">
        <w:rPr>
          <w:rFonts w:asciiTheme="minorHAnsi" w:hAnsiTheme="minorHAnsi" w:cs="Cambria"/>
        </w:rPr>
        <w:t xml:space="preserve">  </w:t>
      </w:r>
    </w:p>
    <w:p w14:paraId="02BD18AF" w14:textId="77777777" w:rsidR="00012E7D" w:rsidRPr="00641197" w:rsidRDefault="00012E7D" w:rsidP="00012E7D">
      <w:pPr>
        <w:widowControl w:val="0"/>
        <w:autoSpaceDE w:val="0"/>
        <w:autoSpaceDN w:val="0"/>
        <w:adjustRightInd w:val="0"/>
        <w:rPr>
          <w:rFonts w:asciiTheme="minorHAnsi" w:hAnsiTheme="minorHAnsi" w:cs="Times"/>
        </w:rPr>
      </w:pPr>
      <w:r w:rsidRPr="00641197">
        <w:rPr>
          <w:rFonts w:asciiTheme="minorHAnsi" w:hAnsiTheme="minorHAnsi" w:cs="Cambria"/>
        </w:rPr>
        <w:t>Due: 11:59 p.m. Sunday, 21</w:t>
      </w:r>
      <w:r w:rsidRPr="00641197">
        <w:rPr>
          <w:rFonts w:asciiTheme="minorHAnsi" w:hAnsiTheme="minorHAnsi" w:cs="Cambria"/>
          <w:vertAlign w:val="superscript"/>
        </w:rPr>
        <w:t>st</w:t>
      </w:r>
      <w:r w:rsidRPr="00641197">
        <w:rPr>
          <w:rFonts w:asciiTheme="minorHAnsi" w:hAnsiTheme="minorHAnsi" w:cs="Cambria"/>
        </w:rPr>
        <w:tab/>
      </w:r>
    </w:p>
    <w:p w14:paraId="2B689996" w14:textId="77777777" w:rsidR="00D67566" w:rsidRPr="00641197" w:rsidRDefault="00D67566" w:rsidP="00012E7D">
      <w:pPr>
        <w:rPr>
          <w:rFonts w:asciiTheme="minorHAnsi" w:hAnsiTheme="minorHAnsi"/>
        </w:rPr>
      </w:pPr>
    </w:p>
    <w:p w14:paraId="66D8E92F" w14:textId="134E5856" w:rsidR="00487FAB" w:rsidRPr="00641197" w:rsidRDefault="00487FAB" w:rsidP="00012E7D">
      <w:pPr>
        <w:rPr>
          <w:rFonts w:asciiTheme="minorHAnsi" w:hAnsiTheme="minorHAnsi"/>
        </w:rPr>
      </w:pPr>
      <w:r w:rsidRPr="00641197">
        <w:rPr>
          <w:rFonts w:asciiTheme="minorHAnsi" w:hAnsiTheme="minorHAnsi"/>
        </w:rPr>
        <w:t xml:space="preserve">1. </w:t>
      </w:r>
      <w:r w:rsidR="00D75E36" w:rsidRPr="00641197">
        <w:rPr>
          <w:rFonts w:asciiTheme="minorHAnsi" w:hAnsiTheme="minorHAnsi"/>
        </w:rPr>
        <w:t>[10]</w:t>
      </w:r>
      <w:r w:rsidRPr="00641197">
        <w:rPr>
          <w:rFonts w:asciiTheme="minorHAnsi" w:hAnsiTheme="minorHAnsi"/>
        </w:rPr>
        <w:t xml:space="preserve"> In the formulae given in the lecture notes on volume fractions, the quantity 8100°</w:t>
      </w:r>
      <w:r w:rsidRPr="00641197">
        <w:rPr>
          <w:rFonts w:asciiTheme="minorHAnsi" w:hAnsiTheme="minorHAnsi"/>
          <w:vertAlign w:val="superscript"/>
        </w:rPr>
        <w:t>2</w:t>
      </w:r>
      <w:r w:rsidRPr="00641197">
        <w:rPr>
          <w:rFonts w:asciiTheme="minorHAnsi" w:hAnsiTheme="minorHAnsi"/>
        </w:rPr>
        <w:t xml:space="preserve"> is often found in relation to the subset of orientation space that spans 0 to 90° for all three Euler angles.  Where does this quantity come from and why are the </w:t>
      </w:r>
      <w:proofErr w:type="gramStart"/>
      <w:r w:rsidRPr="00641197">
        <w:rPr>
          <w:rFonts w:asciiTheme="minorHAnsi" w:hAnsiTheme="minorHAnsi"/>
        </w:rPr>
        <w:t>units</w:t>
      </w:r>
      <w:proofErr w:type="gramEnd"/>
      <w:r w:rsidRPr="00641197">
        <w:rPr>
          <w:rFonts w:asciiTheme="minorHAnsi" w:hAnsiTheme="minorHAnsi"/>
        </w:rPr>
        <w:t xml:space="preserve"> degrees squared?</w:t>
      </w:r>
    </w:p>
    <w:p w14:paraId="2A768AD0" w14:textId="77777777" w:rsidR="00487FAB" w:rsidRPr="00641197" w:rsidRDefault="00487FAB" w:rsidP="00012E7D">
      <w:pPr>
        <w:rPr>
          <w:rFonts w:asciiTheme="minorHAnsi" w:hAnsiTheme="minorHAnsi"/>
        </w:rPr>
      </w:pPr>
    </w:p>
    <w:p w14:paraId="3F9F9A08" w14:textId="2BE2FE39" w:rsidR="00D75E36" w:rsidRPr="00641197" w:rsidRDefault="00FF5DF9" w:rsidP="00012E7D">
      <w:pPr>
        <w:rPr>
          <w:rFonts w:asciiTheme="minorHAnsi" w:hAnsiTheme="minorHAnsi"/>
        </w:rPr>
      </w:pPr>
      <w:r w:rsidRPr="00641197">
        <w:rPr>
          <w:rFonts w:asciiTheme="minorHAnsi" w:hAnsiTheme="minorHAnsi"/>
        </w:rPr>
        <w:t xml:space="preserve">2. </w:t>
      </w:r>
      <w:r w:rsidR="00D75E36" w:rsidRPr="00641197">
        <w:rPr>
          <w:rFonts w:asciiTheme="minorHAnsi" w:hAnsiTheme="minorHAnsi"/>
        </w:rPr>
        <w:t>[</w:t>
      </w:r>
      <w:r w:rsidR="00192F42" w:rsidRPr="00641197">
        <w:rPr>
          <w:rFonts w:asciiTheme="minorHAnsi" w:hAnsiTheme="minorHAnsi"/>
        </w:rPr>
        <w:t>3</w:t>
      </w:r>
      <w:r w:rsidR="00D75E36" w:rsidRPr="00641197">
        <w:rPr>
          <w:rFonts w:asciiTheme="minorHAnsi" w:hAnsiTheme="minorHAnsi"/>
        </w:rPr>
        <w:t>0]</w:t>
      </w:r>
    </w:p>
    <w:p w14:paraId="53938F0B" w14:textId="77777777" w:rsidR="00D75E36" w:rsidRPr="00641197" w:rsidRDefault="004423E5" w:rsidP="00012E7D">
      <w:pPr>
        <w:rPr>
          <w:rFonts w:asciiTheme="minorHAnsi" w:hAnsiTheme="minorHAnsi"/>
        </w:rPr>
      </w:pPr>
      <w:r w:rsidRPr="00641197">
        <w:rPr>
          <w:rFonts w:asciiTheme="minorHAnsi" w:hAnsiTheme="minorHAnsi"/>
        </w:rPr>
        <w:t>a)</w:t>
      </w:r>
      <w:r w:rsidR="00FF5DF9" w:rsidRPr="00641197">
        <w:rPr>
          <w:rFonts w:asciiTheme="minorHAnsi" w:hAnsiTheme="minorHAnsi"/>
        </w:rPr>
        <w:t xml:space="preserve"> </w:t>
      </w:r>
      <w:r w:rsidRPr="00641197">
        <w:rPr>
          <w:rFonts w:asciiTheme="minorHAnsi" w:hAnsiTheme="minorHAnsi"/>
        </w:rPr>
        <w:t xml:space="preserve">Plot inverse pole figures for the sample X and sample Z directions using </w:t>
      </w:r>
      <w:proofErr w:type="spellStart"/>
      <w:r w:rsidRPr="00641197">
        <w:rPr>
          <w:rFonts w:asciiTheme="minorHAnsi" w:hAnsiTheme="minorHAnsi"/>
        </w:rPr>
        <w:t>Matlab</w:t>
      </w:r>
      <w:proofErr w:type="spellEnd"/>
      <w:r w:rsidRPr="00641197">
        <w:rPr>
          <w:rFonts w:asciiTheme="minorHAnsi" w:hAnsiTheme="minorHAnsi"/>
        </w:rPr>
        <w:t xml:space="preserve"> (not MTEX) for the Copper, S and Brass components.  Show the </w:t>
      </w:r>
      <w:proofErr w:type="spellStart"/>
      <w:r w:rsidRPr="00641197">
        <w:rPr>
          <w:rFonts w:asciiTheme="minorHAnsi" w:hAnsiTheme="minorHAnsi"/>
        </w:rPr>
        <w:t>Matlab</w:t>
      </w:r>
      <w:proofErr w:type="spellEnd"/>
      <w:r w:rsidRPr="00641197">
        <w:rPr>
          <w:rFonts w:asciiTheme="minorHAnsi" w:hAnsiTheme="minorHAnsi"/>
        </w:rPr>
        <w:t xml:space="preserve"> script that you used to generate the plots.  You can extract Euler angles from the lecture notes.  Apply cubic crystal symmetry and plot a full circle (because limiting the area to a single stereographic triangle is more difficult).  </w:t>
      </w:r>
    </w:p>
    <w:p w14:paraId="45DD7DAB" w14:textId="5EE3820B" w:rsidR="00D75E36" w:rsidRPr="00641197" w:rsidRDefault="00D75E36" w:rsidP="00012E7D">
      <w:pPr>
        <w:rPr>
          <w:rFonts w:asciiTheme="minorHAnsi" w:hAnsiTheme="minorHAnsi"/>
        </w:rPr>
      </w:pPr>
      <w:r w:rsidRPr="00641197">
        <w:rPr>
          <w:rFonts w:asciiTheme="minorHAnsi" w:hAnsiTheme="minorHAnsi"/>
        </w:rPr>
        <w:t>(</w:t>
      </w:r>
      <w:r w:rsidR="004423E5" w:rsidRPr="00641197">
        <w:rPr>
          <w:rFonts w:asciiTheme="minorHAnsi" w:hAnsiTheme="minorHAnsi"/>
        </w:rPr>
        <w:t>b) Does it make any difference whether you apply sample symmetry or not?</w:t>
      </w:r>
      <w:r w:rsidR="00D4149B" w:rsidRPr="00641197">
        <w:rPr>
          <w:rFonts w:asciiTheme="minorHAnsi" w:hAnsiTheme="minorHAnsi"/>
        </w:rPr>
        <w:t xml:space="preserve"> </w:t>
      </w:r>
    </w:p>
    <w:p w14:paraId="0FB1ACB5" w14:textId="4E205700" w:rsidR="00D75E36" w:rsidRPr="00641197" w:rsidRDefault="00D75E36" w:rsidP="00012E7D">
      <w:pPr>
        <w:rPr>
          <w:rFonts w:asciiTheme="minorHAnsi" w:hAnsiTheme="minorHAnsi"/>
        </w:rPr>
      </w:pPr>
      <w:r w:rsidRPr="00641197">
        <w:rPr>
          <w:rFonts w:asciiTheme="minorHAnsi" w:hAnsiTheme="minorHAnsi"/>
        </w:rPr>
        <w:t>(c</w:t>
      </w:r>
      <w:r w:rsidR="00D4149B" w:rsidRPr="00641197">
        <w:rPr>
          <w:rFonts w:asciiTheme="minorHAnsi" w:hAnsiTheme="minorHAnsi"/>
        </w:rPr>
        <w:t xml:space="preserve">) To clarify what the inverse pole figures show, make a PDF (or whatever format suits you) of your plot from part (a) and use a graphics program (or even just </w:t>
      </w:r>
      <w:proofErr w:type="spellStart"/>
      <w:r w:rsidR="00D4149B" w:rsidRPr="00641197">
        <w:rPr>
          <w:rFonts w:asciiTheme="minorHAnsi" w:hAnsiTheme="minorHAnsi"/>
        </w:rPr>
        <w:t>powerpoint</w:t>
      </w:r>
      <w:proofErr w:type="spellEnd"/>
      <w:r w:rsidR="00D4149B" w:rsidRPr="00641197">
        <w:rPr>
          <w:rFonts w:asciiTheme="minorHAnsi" w:hAnsiTheme="minorHAnsi"/>
        </w:rPr>
        <w:t>) to trim it down to a single standard stereographic triangle</w:t>
      </w:r>
      <w:r w:rsidR="00596CB5" w:rsidRPr="00641197">
        <w:rPr>
          <w:rFonts w:asciiTheme="minorHAnsi" w:hAnsiTheme="minorHAnsi"/>
        </w:rPr>
        <w:t>;</w:t>
      </w:r>
      <w:r w:rsidR="00D4149B" w:rsidRPr="00641197">
        <w:rPr>
          <w:rFonts w:asciiTheme="minorHAnsi" w:hAnsiTheme="minorHAnsi"/>
        </w:rPr>
        <w:t xml:space="preserve"> </w:t>
      </w:r>
      <w:r w:rsidR="00596CB5" w:rsidRPr="00641197">
        <w:rPr>
          <w:rFonts w:asciiTheme="minorHAnsi" w:hAnsiTheme="minorHAnsi"/>
        </w:rPr>
        <w:t xml:space="preserve">then </w:t>
      </w:r>
      <w:r w:rsidR="00D4149B" w:rsidRPr="00641197">
        <w:rPr>
          <w:rFonts w:asciiTheme="minorHAnsi" w:hAnsiTheme="minorHAnsi"/>
        </w:rPr>
        <w:t xml:space="preserve">identify </w:t>
      </w:r>
      <w:r w:rsidR="00596CB5" w:rsidRPr="00641197">
        <w:rPr>
          <w:rFonts w:asciiTheme="minorHAnsi" w:hAnsiTheme="minorHAnsi"/>
        </w:rPr>
        <w:t xml:space="preserve">the </w:t>
      </w:r>
      <w:r w:rsidR="00D4149B" w:rsidRPr="00641197">
        <w:rPr>
          <w:rFonts w:asciiTheme="minorHAnsi" w:hAnsiTheme="minorHAnsi"/>
        </w:rPr>
        <w:t xml:space="preserve">point </w:t>
      </w:r>
      <w:r w:rsidR="00596CB5" w:rsidRPr="00641197">
        <w:rPr>
          <w:rFonts w:asciiTheme="minorHAnsi" w:hAnsiTheme="minorHAnsi"/>
        </w:rPr>
        <w:t>that corresponds</w:t>
      </w:r>
      <w:r w:rsidR="00D4149B" w:rsidRPr="00641197">
        <w:rPr>
          <w:rFonts w:asciiTheme="minorHAnsi" w:hAnsiTheme="minorHAnsi"/>
        </w:rPr>
        <w:t xml:space="preserve"> to each </w:t>
      </w:r>
      <w:r w:rsidR="00596CB5" w:rsidRPr="00641197">
        <w:rPr>
          <w:rFonts w:asciiTheme="minorHAnsi" w:hAnsiTheme="minorHAnsi"/>
        </w:rPr>
        <w:t xml:space="preserve">texture </w:t>
      </w:r>
      <w:r w:rsidR="00D4149B" w:rsidRPr="00641197">
        <w:rPr>
          <w:rFonts w:asciiTheme="minorHAnsi" w:hAnsiTheme="minorHAnsi"/>
        </w:rPr>
        <w:t xml:space="preserve">component in each plot.  If you see anything other than three points in each of the two plots, then something is wrong. </w:t>
      </w:r>
    </w:p>
    <w:p w14:paraId="68EF5955" w14:textId="0ACD7B22" w:rsidR="00FF5DF9" w:rsidRPr="00641197" w:rsidRDefault="00D75E36" w:rsidP="00012E7D">
      <w:pPr>
        <w:rPr>
          <w:rFonts w:asciiTheme="minorHAnsi" w:hAnsiTheme="minorHAnsi"/>
        </w:rPr>
      </w:pPr>
      <w:r w:rsidRPr="00641197">
        <w:rPr>
          <w:rFonts w:asciiTheme="minorHAnsi" w:hAnsiTheme="minorHAnsi"/>
        </w:rPr>
        <w:t>(d</w:t>
      </w:r>
      <w:r w:rsidR="00D4149B" w:rsidRPr="00641197">
        <w:rPr>
          <w:rFonts w:asciiTheme="minorHAnsi" w:hAnsiTheme="minorHAnsi"/>
        </w:rPr>
        <w:t xml:space="preserve">) </w:t>
      </w:r>
      <w:proofErr w:type="gramStart"/>
      <w:r w:rsidR="00D4149B" w:rsidRPr="00641197">
        <w:rPr>
          <w:rFonts w:asciiTheme="minorHAnsi" w:hAnsiTheme="minorHAnsi"/>
        </w:rPr>
        <w:t>explain</w:t>
      </w:r>
      <w:proofErr w:type="gramEnd"/>
      <w:r w:rsidR="00D4149B" w:rsidRPr="00641197">
        <w:rPr>
          <w:rFonts w:asciiTheme="minorHAnsi" w:hAnsiTheme="minorHAnsi"/>
        </w:rPr>
        <w:t xml:space="preserve"> how your plots correspond to the (</w:t>
      </w:r>
      <w:proofErr w:type="spellStart"/>
      <w:r w:rsidR="00D4149B" w:rsidRPr="00641197">
        <w:rPr>
          <w:rFonts w:asciiTheme="minorHAnsi" w:hAnsiTheme="minorHAnsi"/>
        </w:rPr>
        <w:t>hkl</w:t>
      </w:r>
      <w:proofErr w:type="spellEnd"/>
      <w:r w:rsidR="00D4149B" w:rsidRPr="00641197">
        <w:rPr>
          <w:rFonts w:asciiTheme="minorHAnsi" w:hAnsiTheme="minorHAnsi"/>
        </w:rPr>
        <w:t>)[</w:t>
      </w:r>
      <w:proofErr w:type="spellStart"/>
      <w:r w:rsidR="00D4149B" w:rsidRPr="00641197">
        <w:rPr>
          <w:rFonts w:asciiTheme="minorHAnsi" w:hAnsiTheme="minorHAnsi"/>
        </w:rPr>
        <w:t>uvw</w:t>
      </w:r>
      <w:proofErr w:type="spellEnd"/>
      <w:r w:rsidR="00D4149B" w:rsidRPr="00641197">
        <w:rPr>
          <w:rFonts w:asciiTheme="minorHAnsi" w:hAnsiTheme="minorHAnsi"/>
        </w:rPr>
        <w:t>] specifications of the three texture components.</w:t>
      </w:r>
    </w:p>
    <w:p w14:paraId="336BDE26" w14:textId="77777777" w:rsidR="00D4149B" w:rsidRPr="00641197" w:rsidRDefault="00D4149B" w:rsidP="00012E7D">
      <w:pPr>
        <w:rPr>
          <w:rFonts w:asciiTheme="minorHAnsi" w:hAnsiTheme="minorHAnsi"/>
        </w:rPr>
      </w:pPr>
    </w:p>
    <w:p w14:paraId="1D1D3099" w14:textId="5A838C02" w:rsidR="004D344A" w:rsidRPr="00641197" w:rsidRDefault="00D4149B" w:rsidP="00012E7D">
      <w:pPr>
        <w:rPr>
          <w:rFonts w:asciiTheme="minorHAnsi" w:hAnsiTheme="minorHAnsi"/>
        </w:rPr>
      </w:pPr>
      <w:r w:rsidRPr="00641197">
        <w:rPr>
          <w:rFonts w:asciiTheme="minorHAnsi" w:hAnsiTheme="minorHAnsi"/>
        </w:rPr>
        <w:t xml:space="preserve">3. </w:t>
      </w:r>
      <w:r w:rsidR="00106A7F" w:rsidRPr="00641197">
        <w:rPr>
          <w:rFonts w:asciiTheme="minorHAnsi" w:hAnsiTheme="minorHAnsi"/>
        </w:rPr>
        <w:t>[20]</w:t>
      </w:r>
      <w:r w:rsidRPr="00641197">
        <w:rPr>
          <w:rFonts w:asciiTheme="minorHAnsi" w:hAnsiTheme="minorHAnsi"/>
        </w:rPr>
        <w:t xml:space="preserve"> </w:t>
      </w:r>
      <w:r w:rsidR="004D344A" w:rsidRPr="00641197">
        <w:rPr>
          <w:rFonts w:asciiTheme="minorHAnsi" w:hAnsiTheme="minorHAnsi"/>
        </w:rPr>
        <w:t>Read the paper entitled “Stress hot spots in viscoplastic deformation of polycrystals” and answer the following questions.</w:t>
      </w:r>
      <w:r w:rsidR="00A100D8" w:rsidRPr="00641197">
        <w:rPr>
          <w:rFonts w:asciiTheme="minorHAnsi" w:hAnsiTheme="minorHAnsi"/>
        </w:rPr>
        <w:t xml:space="preserve">  The document is available on Box as msms349293p16-proofs-</w:t>
      </w:r>
      <w:proofErr w:type="gramStart"/>
      <w:r w:rsidR="00A100D8" w:rsidRPr="00641197">
        <w:rPr>
          <w:rFonts w:asciiTheme="minorHAnsi" w:hAnsiTheme="minorHAnsi"/>
        </w:rPr>
        <w:t>ADR.pdf .</w:t>
      </w:r>
      <w:proofErr w:type="gramEnd"/>
    </w:p>
    <w:p w14:paraId="7B71C4E6" w14:textId="77777777" w:rsidR="004D344A" w:rsidRPr="00641197" w:rsidRDefault="004D344A" w:rsidP="00012E7D">
      <w:pPr>
        <w:rPr>
          <w:rFonts w:asciiTheme="minorHAnsi" w:hAnsiTheme="minorHAnsi"/>
        </w:rPr>
      </w:pPr>
    </w:p>
    <w:p w14:paraId="19FF51B5" w14:textId="77777777" w:rsidR="00553F60" w:rsidRPr="00641197" w:rsidRDefault="004D344A" w:rsidP="00012E7D">
      <w:pPr>
        <w:rPr>
          <w:rFonts w:asciiTheme="minorHAnsi" w:hAnsiTheme="minorHAnsi"/>
        </w:rPr>
      </w:pPr>
      <w:r w:rsidRPr="00641197">
        <w:rPr>
          <w:rFonts w:asciiTheme="minorHAnsi" w:hAnsiTheme="minorHAnsi"/>
        </w:rPr>
        <w:t xml:space="preserve">(a) What kind of plot is shown in Fig. </w:t>
      </w:r>
      <w:r w:rsidR="00553F60" w:rsidRPr="00641197">
        <w:rPr>
          <w:rFonts w:asciiTheme="minorHAnsi" w:hAnsiTheme="minorHAnsi"/>
        </w:rPr>
        <w:t>4 and why would a straight line correspond to a normal distribution?</w:t>
      </w:r>
    </w:p>
    <w:p w14:paraId="581A6100" w14:textId="77777777" w:rsidR="00553F60" w:rsidRPr="00641197" w:rsidRDefault="00553F60" w:rsidP="00012E7D">
      <w:pPr>
        <w:rPr>
          <w:rFonts w:asciiTheme="minorHAnsi" w:hAnsiTheme="minorHAnsi"/>
        </w:rPr>
      </w:pPr>
      <w:r w:rsidRPr="00641197">
        <w:rPr>
          <w:rFonts w:asciiTheme="minorHAnsi" w:hAnsiTheme="minorHAnsi"/>
        </w:rPr>
        <w:t>(b) What is the “distance map” that is referred to in Fig. 8 and how is it calculated (pick any of the three variants depicted in the figure)?</w:t>
      </w:r>
    </w:p>
    <w:p w14:paraId="4D42CC60" w14:textId="29D2C3DC" w:rsidR="00D4149B" w:rsidRPr="00641197" w:rsidRDefault="00553F60" w:rsidP="00012E7D">
      <w:pPr>
        <w:rPr>
          <w:rFonts w:asciiTheme="minorHAnsi" w:hAnsiTheme="minorHAnsi"/>
        </w:rPr>
      </w:pPr>
      <w:r w:rsidRPr="00641197">
        <w:rPr>
          <w:rFonts w:asciiTheme="minorHAnsi" w:hAnsiTheme="minorHAnsi"/>
        </w:rPr>
        <w:t>(c) What does Fig. 10 tell us about the texture of the locations with high stress in the simulations that were carried out for this paper?</w:t>
      </w:r>
    </w:p>
    <w:p w14:paraId="14B4F26A" w14:textId="182FA694" w:rsidR="00B03313" w:rsidRPr="00641197" w:rsidRDefault="00B03313" w:rsidP="00012E7D">
      <w:pPr>
        <w:rPr>
          <w:rFonts w:asciiTheme="minorHAnsi" w:hAnsiTheme="minorHAnsi"/>
        </w:rPr>
      </w:pPr>
      <w:r w:rsidRPr="00641197">
        <w:rPr>
          <w:rFonts w:asciiTheme="minorHAnsi" w:hAnsiTheme="minorHAnsi"/>
        </w:rPr>
        <w:t xml:space="preserve">(d) Of the (von </w:t>
      </w:r>
      <w:proofErr w:type="spellStart"/>
      <w:r w:rsidRPr="00641197">
        <w:rPr>
          <w:rFonts w:asciiTheme="minorHAnsi" w:hAnsiTheme="minorHAnsi"/>
        </w:rPr>
        <w:t>Mises</w:t>
      </w:r>
      <w:proofErr w:type="spellEnd"/>
      <w:r w:rsidRPr="00641197">
        <w:rPr>
          <w:rFonts w:asciiTheme="minorHAnsi" w:hAnsiTheme="minorHAnsi"/>
        </w:rPr>
        <w:t>) stress and strain-rate fields, which one shows the grain structure to some extent?</w:t>
      </w:r>
    </w:p>
    <w:p w14:paraId="7CC477AA" w14:textId="28A0B4E3" w:rsidR="00B03313" w:rsidRPr="00641197" w:rsidRDefault="00B03313" w:rsidP="00012E7D">
      <w:pPr>
        <w:rPr>
          <w:rFonts w:asciiTheme="minorHAnsi" w:hAnsiTheme="minorHAnsi"/>
        </w:rPr>
      </w:pPr>
      <w:r w:rsidRPr="00641197">
        <w:rPr>
          <w:rFonts w:asciiTheme="minorHAnsi" w:hAnsiTheme="minorHAnsi"/>
        </w:rPr>
        <w:t>(e) Given that grain boundaries are understood to be barriers to slip (although no such provision was made in these simulations), it seems reasonable to expect high stresses next to grain boundaries.  What was the counter-intuitive result with respect to stress levels adjacent to boundaries?</w:t>
      </w:r>
    </w:p>
    <w:p w14:paraId="38483784" w14:textId="77777777" w:rsidR="00B03313" w:rsidRPr="00641197" w:rsidRDefault="00B03313" w:rsidP="00012E7D">
      <w:pPr>
        <w:rPr>
          <w:rFonts w:asciiTheme="minorHAnsi" w:hAnsiTheme="minorHAnsi"/>
        </w:rPr>
      </w:pPr>
    </w:p>
    <w:p w14:paraId="1544D7A6" w14:textId="703C635F" w:rsidR="00A100D8" w:rsidRPr="00641197" w:rsidRDefault="00A100D8" w:rsidP="00012E7D">
      <w:pPr>
        <w:rPr>
          <w:rFonts w:asciiTheme="minorHAnsi" w:hAnsiTheme="minorHAnsi"/>
        </w:rPr>
      </w:pPr>
      <w:r w:rsidRPr="00641197">
        <w:rPr>
          <w:rFonts w:asciiTheme="minorHAnsi" w:hAnsiTheme="minorHAnsi"/>
        </w:rPr>
        <w:t xml:space="preserve">4.  </w:t>
      </w:r>
      <w:r w:rsidR="00106A7F" w:rsidRPr="00641197">
        <w:rPr>
          <w:rFonts w:asciiTheme="minorHAnsi" w:hAnsiTheme="minorHAnsi"/>
        </w:rPr>
        <w:t xml:space="preserve">[20] </w:t>
      </w:r>
      <w:r w:rsidRPr="00641197">
        <w:rPr>
          <w:rFonts w:asciiTheme="minorHAnsi" w:hAnsiTheme="minorHAnsi"/>
        </w:rPr>
        <w:t>Read the paper 1996-Acta-Baczynski-Jonas-Torsion-Textures.pdf</w:t>
      </w:r>
      <w:r w:rsidR="00B5477B" w:rsidRPr="00641197">
        <w:rPr>
          <w:rFonts w:asciiTheme="minorHAnsi" w:hAnsiTheme="minorHAnsi"/>
        </w:rPr>
        <w:t xml:space="preserve"> (available in the Box folder)</w:t>
      </w:r>
      <w:r w:rsidRPr="00641197">
        <w:rPr>
          <w:rFonts w:asciiTheme="minorHAnsi" w:hAnsiTheme="minorHAnsi"/>
        </w:rPr>
        <w:t>, and answer the following questions.</w:t>
      </w:r>
    </w:p>
    <w:p w14:paraId="58400CE0" w14:textId="5842240C" w:rsidR="00A100D8" w:rsidRPr="00641197" w:rsidRDefault="00A100D8" w:rsidP="00012E7D">
      <w:pPr>
        <w:rPr>
          <w:rFonts w:asciiTheme="minorHAnsi" w:hAnsiTheme="minorHAnsi"/>
        </w:rPr>
      </w:pPr>
      <w:r w:rsidRPr="00641197">
        <w:rPr>
          <w:rFonts w:asciiTheme="minorHAnsi" w:hAnsiTheme="minorHAnsi"/>
        </w:rPr>
        <w:t>(a) What does Fig. 15 tell us about the relative stability of different orientations?</w:t>
      </w:r>
    </w:p>
    <w:p w14:paraId="0E0C7F25" w14:textId="235EA033" w:rsidR="00A100D8" w:rsidRPr="00641197" w:rsidRDefault="00A100D8" w:rsidP="00012E7D">
      <w:pPr>
        <w:rPr>
          <w:rFonts w:asciiTheme="minorHAnsi" w:hAnsiTheme="minorHAnsi"/>
        </w:rPr>
      </w:pPr>
      <w:r w:rsidRPr="00641197">
        <w:rPr>
          <w:rFonts w:asciiTheme="minorHAnsi" w:hAnsiTheme="minorHAnsi"/>
        </w:rPr>
        <w:lastRenderedPageBreak/>
        <w:t xml:space="preserve">(b) If you follow a horizontal line across the two upper sub-plots in Fig. 15 that passes through the points D1 and D2, what do you notice about the direction of change in orientation?  </w:t>
      </w:r>
    </w:p>
    <w:p w14:paraId="66494165" w14:textId="191A450B" w:rsidR="00A100D8" w:rsidRPr="00641197" w:rsidRDefault="00A100D8" w:rsidP="00012E7D">
      <w:pPr>
        <w:rPr>
          <w:rFonts w:asciiTheme="minorHAnsi" w:hAnsiTheme="minorHAnsi"/>
        </w:rPr>
      </w:pPr>
      <w:r w:rsidRPr="00641197">
        <w:rPr>
          <w:rFonts w:asciiTheme="minorHAnsi" w:hAnsiTheme="minorHAnsi"/>
        </w:rPr>
        <w:t xml:space="preserve">(c) If you arrive at point D1, say, and somehow the orientation is displaced slightly to the right </w:t>
      </w:r>
      <w:r w:rsidR="00D00529" w:rsidRPr="00641197">
        <w:rPr>
          <w:rFonts w:asciiTheme="minorHAnsi" w:hAnsiTheme="minorHAnsi"/>
        </w:rPr>
        <w:t xml:space="preserve">(larger </w:t>
      </w:r>
      <w:bookmarkStart w:id="0" w:name="_GoBack"/>
      <w:bookmarkEnd w:id="0"/>
      <w:r w:rsidR="00D00529" w:rsidRPr="00C02563">
        <w:rPr>
          <w:rFonts w:asciiTheme="minorHAnsi" w:hAnsiTheme="minorHAnsi"/>
          <w:highlight w:val="cyan"/>
        </w:rPr>
        <w:t>PHI</w:t>
      </w:r>
      <w:r w:rsidR="00C02563" w:rsidRPr="00C02563">
        <w:rPr>
          <w:rFonts w:asciiTheme="minorHAnsi" w:hAnsiTheme="minorHAnsi"/>
          <w:highlight w:val="cyan"/>
        </w:rPr>
        <w:t>1</w:t>
      </w:r>
      <w:r w:rsidR="00D00529" w:rsidRPr="00641197">
        <w:rPr>
          <w:rFonts w:asciiTheme="minorHAnsi" w:hAnsiTheme="minorHAnsi"/>
        </w:rPr>
        <w:t>), will you return to point D1, or something else?  Comment, as best you can, on whether the points D1 (top right) and D2 (top left) represent fully stable orientations under torsional deformation.</w:t>
      </w:r>
    </w:p>
    <w:p w14:paraId="7360B2A2" w14:textId="44E1A138" w:rsidR="00D00529" w:rsidRPr="00641197" w:rsidRDefault="00D00529" w:rsidP="00012E7D">
      <w:pPr>
        <w:rPr>
          <w:rFonts w:asciiTheme="minorHAnsi" w:hAnsiTheme="minorHAnsi"/>
        </w:rPr>
      </w:pPr>
      <w:r w:rsidRPr="00641197">
        <w:rPr>
          <w:rFonts w:asciiTheme="minorHAnsi" w:hAnsiTheme="minorHAnsi"/>
        </w:rPr>
        <w:t>(d) What sample symmetry can you see in Fig. 11?</w:t>
      </w:r>
    </w:p>
    <w:p w14:paraId="19D42B96" w14:textId="77777777" w:rsidR="00106A7F" w:rsidRPr="00641197" w:rsidRDefault="00106A7F" w:rsidP="00012E7D">
      <w:pPr>
        <w:rPr>
          <w:rFonts w:asciiTheme="minorHAnsi" w:hAnsiTheme="minorHAnsi"/>
          <w:color w:val="0000FF"/>
        </w:rPr>
      </w:pPr>
    </w:p>
    <w:p w14:paraId="7B98C5FF" w14:textId="6BDAB9CC" w:rsidR="00106A7F" w:rsidRPr="00641197" w:rsidRDefault="00106A7F" w:rsidP="00012E7D">
      <w:pPr>
        <w:rPr>
          <w:rFonts w:asciiTheme="minorHAnsi" w:hAnsiTheme="minorHAnsi"/>
        </w:rPr>
      </w:pPr>
      <w:r w:rsidRPr="00641197">
        <w:rPr>
          <w:rFonts w:asciiTheme="minorHAnsi" w:hAnsiTheme="minorHAnsi"/>
        </w:rPr>
        <w:t>5.  [10] Why is the spatial resolution in EBSD better at lower accelerating voltages (e.g., 10 kV) than at high values (e.g. 35 kV)?</w:t>
      </w:r>
    </w:p>
    <w:p w14:paraId="7F0DD893" w14:textId="77777777" w:rsidR="00106A7F" w:rsidRPr="00641197" w:rsidRDefault="00106A7F" w:rsidP="00012E7D">
      <w:pPr>
        <w:rPr>
          <w:rFonts w:asciiTheme="minorHAnsi" w:hAnsiTheme="minorHAnsi"/>
        </w:rPr>
      </w:pPr>
    </w:p>
    <w:p w14:paraId="4AB460D9" w14:textId="37EF7CB2" w:rsidR="00106A7F" w:rsidRPr="00641197" w:rsidRDefault="00106A7F" w:rsidP="00012E7D">
      <w:pPr>
        <w:rPr>
          <w:rFonts w:asciiTheme="minorHAnsi" w:hAnsiTheme="minorHAnsi"/>
        </w:rPr>
      </w:pPr>
      <w:r w:rsidRPr="00641197">
        <w:rPr>
          <w:rFonts w:asciiTheme="minorHAnsi" w:hAnsiTheme="minorHAnsi"/>
        </w:rPr>
        <w:t>6. [10] Explain in your own words how the voting scheme is used in the indexing of diffraction patterns in EBSD to arrive at a “confidence index”.  You are welcome to read papers outside the lectur</w:t>
      </w:r>
      <w:r w:rsidR="00B56F6B" w:rsidRPr="00641197">
        <w:rPr>
          <w:rFonts w:asciiTheme="minorHAnsi" w:hAnsiTheme="minorHAnsi"/>
        </w:rPr>
        <w:t>e notes</w:t>
      </w:r>
      <w:r w:rsidRPr="00641197">
        <w:rPr>
          <w:rFonts w:asciiTheme="minorHAnsi" w:hAnsiTheme="minorHAnsi"/>
        </w:rPr>
        <w:t>.</w:t>
      </w:r>
    </w:p>
    <w:p w14:paraId="31A91D77" w14:textId="77777777" w:rsidR="00106A7F" w:rsidRPr="00641197" w:rsidRDefault="00106A7F" w:rsidP="00012E7D">
      <w:pPr>
        <w:rPr>
          <w:rFonts w:asciiTheme="minorHAnsi" w:hAnsiTheme="minorHAnsi"/>
        </w:rPr>
      </w:pPr>
    </w:p>
    <w:p w14:paraId="04F4414C" w14:textId="77777777" w:rsidR="00106A7F" w:rsidRPr="00641197" w:rsidRDefault="00106A7F" w:rsidP="00012E7D">
      <w:pPr>
        <w:rPr>
          <w:rFonts w:asciiTheme="minorHAnsi" w:hAnsiTheme="minorHAnsi"/>
        </w:rPr>
      </w:pPr>
    </w:p>
    <w:sectPr w:rsidR="00106A7F" w:rsidRPr="00641197" w:rsidSect="004423E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E7D"/>
    <w:rsid w:val="00012E7D"/>
    <w:rsid w:val="00106A7F"/>
    <w:rsid w:val="00192F42"/>
    <w:rsid w:val="00380FC6"/>
    <w:rsid w:val="003F2B27"/>
    <w:rsid w:val="004423E5"/>
    <w:rsid w:val="00487FAB"/>
    <w:rsid w:val="004D344A"/>
    <w:rsid w:val="00553F60"/>
    <w:rsid w:val="00596CB5"/>
    <w:rsid w:val="00641197"/>
    <w:rsid w:val="00703F9A"/>
    <w:rsid w:val="007556F9"/>
    <w:rsid w:val="00915A8F"/>
    <w:rsid w:val="009978FA"/>
    <w:rsid w:val="00A100D8"/>
    <w:rsid w:val="00B03313"/>
    <w:rsid w:val="00B37DD6"/>
    <w:rsid w:val="00B5477B"/>
    <w:rsid w:val="00B56F6B"/>
    <w:rsid w:val="00C02563"/>
    <w:rsid w:val="00C927BB"/>
    <w:rsid w:val="00D00529"/>
    <w:rsid w:val="00D4149B"/>
    <w:rsid w:val="00D67566"/>
    <w:rsid w:val="00D75E36"/>
    <w:rsid w:val="00EA4140"/>
    <w:rsid w:val="00FF5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AE7F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521</Words>
  <Characters>2970</Characters>
  <Application>Microsoft Macintosh Word</Application>
  <DocSecurity>0</DocSecurity>
  <Lines>24</Lines>
  <Paragraphs>6</Paragraphs>
  <ScaleCrop>false</ScaleCrop>
  <Company>Carnegie Mellon University</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Rollett</dc:creator>
  <cp:keywords/>
  <dc:description/>
  <cp:lastModifiedBy>Anthony Rollett</cp:lastModifiedBy>
  <cp:revision>2</cp:revision>
  <dcterms:created xsi:type="dcterms:W3CDTF">2016-02-21T04:01:00Z</dcterms:created>
  <dcterms:modified xsi:type="dcterms:W3CDTF">2016-02-21T04:01:00Z</dcterms:modified>
</cp:coreProperties>
</file>